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5" w:rsidRPr="00D54C77" w:rsidRDefault="00E32E25" w:rsidP="00E32E25">
      <w:pPr>
        <w:spacing w:after="0" w:line="240" w:lineRule="auto"/>
        <w:rPr>
          <w:rFonts w:eastAsia="Times New Roman" w:cs="Arial"/>
          <w:color w:val="000000"/>
          <w:sz w:val="40"/>
          <w:szCs w:val="40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12-S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tep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 xml:space="preserve"> P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lan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to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 xml:space="preserve"> A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ccess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for</w:t>
      </w:r>
      <w:r w:rsidRPr="00D54C77">
        <w:rPr>
          <w:rFonts w:eastAsia="Times New Roman" w:cs="Arial"/>
          <w:color w:val="000000"/>
          <w:sz w:val="40"/>
          <w:szCs w:val="40"/>
          <w:shd w:val="clear" w:color="auto" w:fill="FFFFFF"/>
        </w:rPr>
        <w:t xml:space="preserve"> 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A</w:t>
      </w:r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rts</w:t>
      </w:r>
      <w:r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 xml:space="preserve"> O</w:t>
      </w:r>
      <w:bookmarkStart w:id="0" w:name="_GoBack"/>
      <w:bookmarkEnd w:id="0"/>
      <w:r w:rsidR="00D54C77" w:rsidRPr="00D54C77">
        <w:rPr>
          <w:rFonts w:eastAsia="Times New Roman" w:cs="Arial"/>
          <w:b/>
          <w:bCs/>
          <w:color w:val="000000"/>
          <w:sz w:val="40"/>
          <w:szCs w:val="40"/>
          <w:shd w:val="clear" w:color="auto" w:fill="FFFFFF"/>
        </w:rPr>
        <w:t>rganizations</w:t>
      </w:r>
    </w:p>
    <w:p w:rsidR="00E32E25" w:rsidRPr="00283BC1" w:rsidRDefault="00283BC1" w:rsidP="00283BC1">
      <w:pPr>
        <w:spacing w:before="120"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Reprinted with permission from </w:t>
      </w:r>
      <w:r w:rsidR="00E32E25" w:rsidRPr="00E32E25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by Deborah Lewis,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past </w:t>
      </w:r>
      <w:r w:rsidR="00E32E25" w:rsidRPr="00E32E25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executive director, ELA Foundation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; now with </w:t>
      </w:r>
      <w:hyperlink r:id="rId5" w:history="1">
        <w:r w:rsidRPr="00283BC1"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  <w:shd w:val="clear" w:color="auto" w:fill="FFFFFF"/>
          </w:rPr>
          <w:t>Audio Description Solutions</w:t>
        </w:r>
      </w:hyperlink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; also r</w:t>
      </w:r>
      <w:r w:rsidR="00E32E25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eprinted by Arts Midwest at </w:t>
      </w:r>
      <w:hyperlink r:id="rId6" w:history="1">
        <w:r w:rsidR="00E32E25" w:rsidRPr="004056C7"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  <w:shd w:val="clear" w:color="auto" w:fill="FFFFFF"/>
          </w:rPr>
          <w:t>http://www.artsmidwest</w:t>
        </w:r>
        <w:r w:rsidR="00E32E25" w:rsidRPr="004056C7"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  <w:shd w:val="clear" w:color="auto" w:fill="FFFFFF"/>
          </w:rPr>
          <w:t>.</w:t>
        </w:r>
        <w:r w:rsidR="00E32E25" w:rsidRPr="004056C7"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  <w:shd w:val="clear" w:color="auto" w:fill="FFFFFF"/>
          </w:rPr>
          <w:t>org/files/12StepPlanToAccess.pdf</w:t>
        </w:r>
      </w:hyperlink>
      <w:r w:rsidR="00E32E25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32E25" w:rsidRDefault="00E32E25" w:rsidP="00E32E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Introduction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Since the passing of the Americans with Disabilities Act, there have been many questions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about how to create better access for people with disabilities. This 12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Step Plan is a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guide to help arts organizations identify their weaknesses in accordance with the ADA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and to create a plan that will complete their access needs.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1: Assign a 504/ADA Coordinator for Your Organization</w:t>
      </w:r>
      <w:r w:rsidRPr="00D54C77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Make sure that there is a point person in your organization who is in charge of convening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the people involved with access in your organization and move the process forward.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2: Insure Internal Support to Create and Implement ADA Compliance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It is important to connect with upper management staff, board, and other support staff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within your organization to discuss the need for ADA compliance in your facility and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programs. Once you know that everyone in your organization is on board with creating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and implementing a plan, it will be easier to go through the rest of the steps.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3: Know the Law and How It Relates to Your Organization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Whether it is the ADA, Section 504, or other laws that are pertinent to your state, it is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important to read and understand them. Go to websites such as: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4056C7">
          <w:rPr>
            <w:rStyle w:val="Hyperlink"/>
            <w:rFonts w:ascii="Times New Roman" w:eastAsia="Times New Roman" w:hAnsi="Times New Roman"/>
            <w:sz w:val="28"/>
            <w:szCs w:val="28"/>
            <w:shd w:val="clear" w:color="auto" w:fill="FFFFFF"/>
          </w:rPr>
          <w:t>http://www.adata.org/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and </w:t>
      </w:r>
      <w:hyperlink r:id="rId8" w:history="1">
        <w:r w:rsidRPr="004056C7">
          <w:rPr>
            <w:rStyle w:val="Hyperlink"/>
            <w:rFonts w:ascii="Times New Roman" w:eastAsia="Times New Roman" w:hAnsi="Times New Roman"/>
            <w:sz w:val="28"/>
            <w:szCs w:val="28"/>
            <w:shd w:val="clear" w:color="auto" w:fill="FFFFFF"/>
          </w:rPr>
          <w:t>http://www.usdoj.gov/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to get up-to-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date information about the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law and how it relates to your organization. Consult experts in your area (independent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living centers, ADA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-experienced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lawyers) to ask questions and get more information.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4: Gather your Access Team Together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Put together a committee made up of staff, vol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unteers, patrons, board members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and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community members to fulfill your access plan. Look for people who have an interest in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access, a disability themselves, family members with disabilities,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expertise in access issues, the need to be involved (such as front of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house or box office staff), and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who are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good team members. Give them some education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about what your expectations are and what the outcome will be as well as sharing your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knowledge about the law.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5: Assess the Current Organizational Access</w:t>
      </w:r>
    </w:p>
    <w:p w:rsidR="00D54C77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 lot of survey instruments and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checklists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ar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e available in many forms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9" w:history="1">
        <w:r w:rsidRPr="00283BC1">
          <w:rPr>
            <w:rStyle w:val="Hyperlink"/>
            <w:rFonts w:ascii="Times New Roman" w:eastAsia="Times New Roman" w:hAnsi="Times New Roman"/>
            <w:i/>
            <w:sz w:val="28"/>
            <w:szCs w:val="28"/>
            <w:shd w:val="clear" w:color="auto" w:fill="FFFFFF"/>
          </w:rPr>
          <w:t>The Design for Accessibility: A Cultural Administrator</w:t>
        </w:r>
        <w:r w:rsidR="00283BC1" w:rsidRPr="00283BC1">
          <w:rPr>
            <w:rStyle w:val="Hyperlink"/>
            <w:rFonts w:ascii="Times New Roman" w:eastAsia="Times New Roman" w:hAnsi="Times New Roman"/>
            <w:i/>
            <w:sz w:val="28"/>
            <w:szCs w:val="28"/>
            <w:shd w:val="clear" w:color="auto" w:fill="FFFFFF"/>
          </w:rPr>
          <w:t>’</w:t>
        </w:r>
        <w:r w:rsidRPr="00283BC1">
          <w:rPr>
            <w:rStyle w:val="Hyperlink"/>
            <w:rFonts w:ascii="Times New Roman" w:eastAsia="Times New Roman" w:hAnsi="Times New Roman"/>
            <w:i/>
            <w:sz w:val="28"/>
            <w:szCs w:val="28"/>
            <w:shd w:val="clear" w:color="auto" w:fill="FFFFFF"/>
          </w:rPr>
          <w:t>s Handbook</w:t>
        </w:r>
      </w:hyperlink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(currently being updated by the NEA)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has </w:t>
      </w:r>
      <w:r w:rsidR="00695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suggestions to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lead you through architectural,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program</w:t>
      </w:r>
      <w:r w:rsidR="006959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matic, marketing, communication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and other policies in your organization that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are barriers to accessibility. Members of your staff and committee should be included in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the group that fills out this survey. You will want to have a level, a fishhook and a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measuring tape with you when </w:t>
      </w:r>
    </w:p>
    <w:p w:rsidR="00D54C77" w:rsidRPr="00E32E25" w:rsidRDefault="00D54C77" w:rsidP="00D54C7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D54C77" w:rsidRPr="00E32E25" w:rsidTr="0008162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54C77" w:rsidRPr="00E32E25" w:rsidRDefault="00D54C77" w:rsidP="0008162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2"/>
            <w:r w:rsidRPr="00E32E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Page 2</w:t>
            </w:r>
            <w:bookmarkEnd w:id="1"/>
          </w:p>
        </w:tc>
      </w:tr>
    </w:tbl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you</w:t>
      </w:r>
      <w:proofErr w:type="gramEnd"/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do the architectural portion of the survey.</w:t>
      </w:r>
      <w:r w:rsidR="00283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283BC1" w:rsidRPr="00283B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NOTE</w:t>
      </w:r>
      <w:r w:rsidR="00283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Several other new access plan resources are on </w:t>
      </w:r>
      <w:hyperlink r:id="rId10" w:history="1">
        <w:r w:rsidR="00283BC1" w:rsidRPr="00283BC1">
          <w:rPr>
            <w:rStyle w:val="Hyperlink"/>
            <w:rFonts w:ascii="Times New Roman" w:eastAsia="Times New Roman" w:hAnsi="Times New Roman"/>
            <w:sz w:val="28"/>
            <w:szCs w:val="28"/>
            <w:shd w:val="clear" w:color="auto" w:fill="FFFFFF"/>
          </w:rPr>
          <w:t>VSA Minnesota</w:t>
        </w:r>
      </w:hyperlink>
      <w:r w:rsidR="00283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’s website, including a large list of actual access plans available, an Excel self-survey form, and a PDF/Word Checklist).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6: Create an ADA Plan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Once you know what the access strengths and weaknesses, you will be able to create your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ADA plan. Take each section and determine if the barriers that exist are short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term or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long-term concerns. For instance, if the bathroom in your facility is down a set of stairs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without an elevator and you don’t have any plans to renovate the building, an alternative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restroom option should be explored. But if the restroom is accessible excep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t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that the toilet seat is too low, that can be changed more easily. Your plan should include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a timeline, the people who are in charge of each </w:t>
      </w:r>
      <w:proofErr w:type="gramStart"/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item,</w:t>
      </w:r>
      <w:proofErr w:type="gramEnd"/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and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budget if the item requires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funding.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7: Publicize and Adopt the Plan Internally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Take the plan beyond your committee to the staff and board that may not have been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involved in this process. Talk about it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with them and get their buy-in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Once they have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had a chance to give their feedback, make sure it is adopted as part of the organizational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plan so it will move forward.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8: Implement the Plan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Take the short-term steps and start to work on them one by one. Don’t let this plan sit on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 shelf! Build up to the long-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term ones as you begin the process.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9: Do Training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Train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taff, volunteers, board members, ushers, docents, etc. on disability etiquette,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language and access issues for your organization. Education is an important part of an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access plan. Incorporate this training into your ongoing training sessions and materials.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10: Market Your Access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Hold a press conf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erence, print a brochure,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speak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to groups. W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hether you are adding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audio description to your access list or putting in new accessible seats, let the community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know that you are working on total access. And be sure to put those symbols on your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brochures and mention access in all printed materials.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11: Evaluate the Plan</w:t>
      </w:r>
    </w:p>
    <w:p w:rsidR="00E32E25" w:rsidRPr="00E32E25" w:rsidRDefault="00E32E25" w:rsidP="00E32E25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On a yearly basis, go back to the plan to look at the goals, timeline, marketing, training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and budget;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evaluate what has and hasn’t worked and what still needs to be done.</w:t>
      </w:r>
    </w:p>
    <w:p w:rsidR="00E32E25" w:rsidRPr="00D54C77" w:rsidRDefault="00E32E25" w:rsidP="00E32E2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54C77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</w:rPr>
        <w:t>Step 12: Celebrate Your Successes</w:t>
      </w:r>
    </w:p>
    <w:p w:rsidR="00283BC1" w:rsidRPr="00283BC1" w:rsidRDefault="00E32E25" w:rsidP="00283BC1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Access is ongoing and long-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term and it is important to celebrate your progress along the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E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way</w:t>
      </w:r>
      <w:r w:rsidR="00283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283BC1" w:rsidRPr="00283BC1" w:rsidSect="00E32E25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25"/>
    <w:rsid w:val="002157A4"/>
    <w:rsid w:val="00283BC1"/>
    <w:rsid w:val="006959E8"/>
    <w:rsid w:val="007A0D8B"/>
    <w:rsid w:val="00D54C77"/>
    <w:rsid w:val="00DA2FED"/>
    <w:rsid w:val="00E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ta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midwest.org/files/12StepPlanToAcces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dioDescriptionSolutions.com" TargetMode="External"/><Relationship Id="rId10" Type="http://schemas.openxmlformats.org/officeDocument/2006/relationships/hyperlink" Target="http://vsamn.org/arts-organizations/resources-organiz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.gov/publications/design-accessibility-cultural-administrators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CB117FED</Template>
  <TotalTime>57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Skaalen</dc:creator>
  <cp:lastModifiedBy>Jon Skaalen</cp:lastModifiedBy>
  <cp:revision>2</cp:revision>
  <dcterms:created xsi:type="dcterms:W3CDTF">2014-04-17T00:53:00Z</dcterms:created>
  <dcterms:modified xsi:type="dcterms:W3CDTF">2017-03-13T19:44:00Z</dcterms:modified>
</cp:coreProperties>
</file>