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bio: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heather c. lou, m.ed. (she/her/hers) is an angry gemini earth dragon, multiracial, asian, queer, cisgender, disabled, survivor/surviving, depressed, and anxious womxn of color artist based in st. paul, minnesota. hcl works closely with her co-collaborator, Low Kling (also known as Pickle Witch and YoLow Zines) to plan and organize Support Local Hustle, an initiative that focuses on Black, Indigenous, and People of Color makers/artists/vendors in the Twin Cities. SLH’s goal is to create wider opportunities for BIPOC to share their skills and talents with each other, their community, and works to dismantle white supremacy and other forms of oppression, challenge late stage capitalism, and create alternative economic opportunities for creatives. SLH aims to create safer and more inclusive spaces, and the Springboard 20/20 Artist Fellowship will enhance hcl and Low’s efforts.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hcl’s mixed media pieces include watercolor, acrylic, printmaking, gold paint pen, oil pastel, digital/graphic design, radical love, &amp; hope. each piece comments on the intersections of her racial, gender, ability, &amp; sexual identities, as they continue to shift and develop in complexity each day.  her art is a form of healing, transformation, and liberation, rooted in womxnism and gender equity through a racialized borderland lens. heather works in education as an administrator. in her spare time, heather loves ogling at and snuggling with sprout and loon (her dogs), gardening, birdwatching, eating pie, playing her ukulele, and spending time with her loving partner.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ind w:left="720" w:firstLine="0"/>
        <w:rPr>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